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160F" w14:textId="5CCB8EFC" w:rsidR="00060B09" w:rsidRPr="00060B09" w:rsidRDefault="005637ED" w:rsidP="3A36D7A1">
      <w:pPr>
        <w:pStyle w:val="Prrafodelista"/>
        <w:spacing w:before="220" w:after="220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3A36D7A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Lexus</w:t>
      </w:r>
      <w:r w:rsidR="1B9836CE" w:rsidRPr="3A36D7A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3A36D7A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cierra </w:t>
      </w:r>
      <w:r w:rsidR="66BB08F8" w:rsidRPr="3A36D7A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su tercer año en México con un </w:t>
      </w:r>
      <w:proofErr w:type="gramStart"/>
      <w:r w:rsidR="66BB08F8" w:rsidRPr="3A36D7A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nuevo récord</w:t>
      </w:r>
      <w:proofErr w:type="gramEnd"/>
      <w:r w:rsidR="66BB08F8" w:rsidRPr="3A36D7A1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de ventas</w:t>
      </w:r>
    </w:p>
    <w:p w14:paraId="70FEE865" w14:textId="77777777" w:rsidR="00060B09" w:rsidRPr="00060B09" w:rsidRDefault="00060B09" w:rsidP="00060B09">
      <w:pPr>
        <w:pStyle w:val="Prrafodelista"/>
        <w:spacing w:before="220" w:after="220"/>
        <w:rPr>
          <w:rFonts w:ascii="Arial" w:eastAsia="Arial" w:hAnsi="Arial" w:cs="Arial"/>
          <w:i/>
          <w:iCs/>
          <w:color w:val="000000" w:themeColor="text1"/>
        </w:rPr>
      </w:pPr>
    </w:p>
    <w:p w14:paraId="229AB9A9" w14:textId="53F02608" w:rsidR="00060B09" w:rsidRDefault="00A613AD" w:rsidP="3A36D7A1">
      <w:pPr>
        <w:pStyle w:val="Prrafodelista"/>
        <w:numPr>
          <w:ilvl w:val="0"/>
          <w:numId w:val="1"/>
        </w:numPr>
        <w:spacing w:before="220" w:after="220"/>
        <w:rPr>
          <w:rFonts w:ascii="Arial" w:eastAsia="Arial" w:hAnsi="Arial" w:cs="Arial"/>
          <w:i/>
          <w:iCs/>
          <w:color w:val="000000" w:themeColor="text1"/>
        </w:rPr>
      </w:pPr>
      <w:r w:rsidRPr="3A36D7A1">
        <w:rPr>
          <w:rFonts w:ascii="Arial" w:eastAsia="Arial" w:hAnsi="Arial" w:cs="Arial"/>
          <w:i/>
          <w:iCs/>
          <w:color w:val="000000" w:themeColor="text1"/>
        </w:rPr>
        <w:t>En total, reportó la venta de 2,717 unidades, un crecimiento de 1.3% con respecto a 2023</w:t>
      </w:r>
      <w:r w:rsidR="676018A5" w:rsidRPr="3A36D7A1">
        <w:rPr>
          <w:rFonts w:ascii="Arial" w:eastAsia="Arial" w:hAnsi="Arial" w:cs="Arial"/>
          <w:i/>
          <w:iCs/>
          <w:color w:val="000000" w:themeColor="text1"/>
        </w:rPr>
        <w:t xml:space="preserve">. </w:t>
      </w:r>
      <w:r w:rsidR="2F8C96B4" w:rsidRPr="3A36D7A1">
        <w:rPr>
          <w:rFonts w:ascii="Arial" w:eastAsia="Arial" w:hAnsi="Arial" w:cs="Arial"/>
          <w:i/>
          <w:iCs/>
          <w:color w:val="000000" w:themeColor="text1"/>
        </w:rPr>
        <w:t xml:space="preserve">En total, ha comercializado 7,098 unidades desde su llegada a México. </w:t>
      </w:r>
    </w:p>
    <w:p w14:paraId="523F7D3F" w14:textId="1A4F284C" w:rsidR="317633A5" w:rsidRDefault="00A613AD" w:rsidP="3A36D7A1">
      <w:pPr>
        <w:pStyle w:val="Prrafodelista"/>
        <w:numPr>
          <w:ilvl w:val="0"/>
          <w:numId w:val="1"/>
        </w:numPr>
        <w:spacing w:before="220" w:after="220"/>
        <w:rPr>
          <w:rFonts w:ascii="Arial" w:eastAsia="Arial" w:hAnsi="Arial" w:cs="Arial"/>
          <w:i/>
          <w:iCs/>
          <w:color w:val="000000" w:themeColor="text1"/>
        </w:rPr>
      </w:pPr>
      <w:r w:rsidRPr="3A36D7A1">
        <w:rPr>
          <w:rFonts w:ascii="Arial" w:eastAsia="Arial" w:hAnsi="Arial" w:cs="Arial"/>
          <w:i/>
          <w:iCs/>
          <w:color w:val="000000" w:themeColor="text1"/>
        </w:rPr>
        <w:t xml:space="preserve">NX350h se ubicó como el </w:t>
      </w:r>
      <w:proofErr w:type="spellStart"/>
      <w:proofErr w:type="gramStart"/>
      <w:r w:rsidRPr="3A36D7A1">
        <w:rPr>
          <w:rFonts w:ascii="Arial" w:eastAsia="Arial" w:hAnsi="Arial" w:cs="Arial"/>
          <w:i/>
          <w:iCs/>
          <w:color w:val="000000" w:themeColor="text1"/>
        </w:rPr>
        <w:t>bestseller</w:t>
      </w:r>
      <w:proofErr w:type="spellEnd"/>
      <w:proofErr w:type="gramEnd"/>
      <w:r w:rsidRPr="3A36D7A1">
        <w:rPr>
          <w:rFonts w:ascii="Arial" w:eastAsia="Arial" w:hAnsi="Arial" w:cs="Arial"/>
          <w:i/>
          <w:iCs/>
          <w:color w:val="000000" w:themeColor="text1"/>
        </w:rPr>
        <w:t xml:space="preserve"> de toda la familia Lexus</w:t>
      </w:r>
      <w:r w:rsidR="71FB47A8" w:rsidRPr="3A36D7A1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Pr="3A36D7A1">
        <w:rPr>
          <w:rFonts w:ascii="Arial" w:eastAsia="Arial" w:hAnsi="Arial" w:cs="Arial"/>
          <w:i/>
          <w:iCs/>
          <w:color w:val="000000" w:themeColor="text1"/>
        </w:rPr>
        <w:t>con un total de 754 unidades vendidas en 2024</w:t>
      </w:r>
      <w:r w:rsidR="0865A663" w:rsidRPr="3A36D7A1">
        <w:rPr>
          <w:rFonts w:ascii="Arial" w:eastAsia="Arial" w:hAnsi="Arial" w:cs="Arial"/>
          <w:i/>
          <w:iCs/>
          <w:color w:val="000000" w:themeColor="text1"/>
        </w:rPr>
        <w:t xml:space="preserve"> </w:t>
      </w:r>
    </w:p>
    <w:p w14:paraId="57EBAA59" w14:textId="77777777" w:rsidR="00060B09" w:rsidRDefault="00060B09" w:rsidP="6B63CA68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222FE2A5" w14:textId="7C7FE74E" w:rsidR="00A613AD" w:rsidRDefault="00060B09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3A36D7A1">
        <w:rPr>
          <w:rFonts w:ascii="Arial" w:eastAsia="Arial" w:hAnsi="Arial" w:cs="Arial"/>
          <w:b/>
          <w:bCs/>
          <w:color w:val="000000" w:themeColor="text1"/>
          <w:lang w:val="es-MX"/>
        </w:rPr>
        <w:t xml:space="preserve">Ciudad de México, </w:t>
      </w:r>
      <w:r w:rsidR="00A613AD" w:rsidRPr="3A36D7A1">
        <w:rPr>
          <w:rFonts w:ascii="Arial" w:eastAsia="Arial" w:hAnsi="Arial" w:cs="Arial"/>
          <w:b/>
          <w:bCs/>
          <w:color w:val="000000" w:themeColor="text1"/>
          <w:lang w:val="es-MX"/>
        </w:rPr>
        <w:t>6</w:t>
      </w:r>
      <w:r w:rsidR="00F924C4" w:rsidRPr="3A36D7A1">
        <w:rPr>
          <w:rFonts w:ascii="Arial" w:eastAsia="Arial" w:hAnsi="Arial" w:cs="Arial"/>
          <w:b/>
          <w:bCs/>
          <w:color w:val="000000" w:themeColor="text1"/>
          <w:lang w:val="es-MX"/>
        </w:rPr>
        <w:t xml:space="preserve"> </w:t>
      </w:r>
      <w:r w:rsidRPr="3A36D7A1">
        <w:rPr>
          <w:rFonts w:ascii="Arial" w:eastAsia="Arial" w:hAnsi="Arial" w:cs="Arial"/>
          <w:b/>
          <w:bCs/>
          <w:color w:val="000000" w:themeColor="text1"/>
          <w:lang w:val="es-MX"/>
        </w:rPr>
        <w:t xml:space="preserve">de </w:t>
      </w:r>
      <w:r w:rsidR="00A613AD" w:rsidRPr="3A36D7A1">
        <w:rPr>
          <w:rFonts w:ascii="Arial" w:eastAsia="Arial" w:hAnsi="Arial" w:cs="Arial"/>
          <w:b/>
          <w:bCs/>
          <w:color w:val="000000" w:themeColor="text1"/>
          <w:lang w:val="es-MX"/>
        </w:rPr>
        <w:t xml:space="preserve">enero </w:t>
      </w:r>
      <w:r w:rsidRPr="3A36D7A1">
        <w:rPr>
          <w:rFonts w:ascii="Arial" w:eastAsia="Arial" w:hAnsi="Arial" w:cs="Arial"/>
          <w:b/>
          <w:bCs/>
          <w:color w:val="000000" w:themeColor="text1"/>
          <w:lang w:val="es-MX"/>
        </w:rPr>
        <w:t>de 2024.-</w:t>
      </w:r>
      <w:r w:rsidRPr="3A36D7A1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="7221E372" w:rsidRPr="3A36D7A1">
        <w:rPr>
          <w:rFonts w:ascii="Arial" w:eastAsia="Arial" w:hAnsi="Arial" w:cs="Arial"/>
          <w:color w:val="000000" w:themeColor="text1"/>
          <w:lang w:val="es-MX"/>
        </w:rPr>
        <w:t xml:space="preserve">Al cierre del 2024, </w:t>
      </w:r>
      <w:r w:rsidR="00A613AD" w:rsidRPr="3A36D7A1">
        <w:rPr>
          <w:rFonts w:ascii="Arial" w:eastAsia="Arial" w:hAnsi="Arial" w:cs="Arial"/>
          <w:color w:val="000000" w:themeColor="text1"/>
          <w:lang w:val="es-MX"/>
        </w:rPr>
        <w:t xml:space="preserve">Lexus continúa </w:t>
      </w:r>
      <w:r w:rsidR="25CA0D4D" w:rsidRPr="3A36D7A1">
        <w:rPr>
          <w:rFonts w:ascii="Arial" w:eastAsia="Arial" w:hAnsi="Arial" w:cs="Arial"/>
          <w:color w:val="000000" w:themeColor="text1"/>
          <w:lang w:val="es-MX"/>
        </w:rPr>
        <w:t>posicionándose</w:t>
      </w:r>
      <w:r w:rsidR="00A613AD" w:rsidRPr="3A36D7A1">
        <w:rPr>
          <w:rFonts w:ascii="Arial" w:eastAsia="Arial" w:hAnsi="Arial" w:cs="Arial"/>
          <w:color w:val="000000" w:themeColor="text1"/>
          <w:lang w:val="es-MX"/>
        </w:rPr>
        <w:t xml:space="preserve"> como uno de los jugadores clave en la movilidad verde en el mercado mexicano</w:t>
      </w:r>
      <w:r w:rsidR="00C1768C" w:rsidRPr="3A36D7A1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="00A613AD" w:rsidRPr="3A36D7A1">
        <w:rPr>
          <w:rFonts w:ascii="Arial" w:eastAsia="Arial" w:hAnsi="Arial" w:cs="Arial"/>
          <w:color w:val="000000" w:themeColor="text1"/>
          <w:lang w:val="es-MX"/>
        </w:rPr>
        <w:t xml:space="preserve">de lujo. Durante este periodo, logró la comercialización de 2,717 unidades, que representan un aumento del 1.3% en el acumulado frente a 2023 y también un hito importante, al concentrar el </w:t>
      </w:r>
      <w:r w:rsidR="00C975E5" w:rsidRPr="3A36D7A1">
        <w:rPr>
          <w:rFonts w:ascii="Arial" w:eastAsia="Arial" w:hAnsi="Arial" w:cs="Arial"/>
          <w:color w:val="000000" w:themeColor="text1"/>
          <w:lang w:val="es-MX"/>
        </w:rPr>
        <w:t>77</w:t>
      </w:r>
      <w:r w:rsidR="00A613AD" w:rsidRPr="3A36D7A1">
        <w:rPr>
          <w:rFonts w:ascii="Arial" w:eastAsia="Arial" w:hAnsi="Arial" w:cs="Arial"/>
          <w:color w:val="000000" w:themeColor="text1"/>
          <w:lang w:val="es-MX"/>
        </w:rPr>
        <w:t xml:space="preserve">% de sus ventas </w:t>
      </w:r>
      <w:r w:rsidR="009F005B" w:rsidRPr="3A36D7A1">
        <w:rPr>
          <w:rFonts w:ascii="Arial" w:eastAsia="Arial" w:hAnsi="Arial" w:cs="Arial"/>
          <w:color w:val="000000" w:themeColor="text1"/>
          <w:lang w:val="es-MX"/>
        </w:rPr>
        <w:t xml:space="preserve">anuales </w:t>
      </w:r>
      <w:r w:rsidR="00A613AD" w:rsidRPr="3A36D7A1">
        <w:rPr>
          <w:rFonts w:ascii="Arial" w:eastAsia="Arial" w:hAnsi="Arial" w:cs="Arial"/>
          <w:color w:val="000000" w:themeColor="text1"/>
          <w:lang w:val="es-MX"/>
        </w:rPr>
        <w:t>en v</w:t>
      </w:r>
      <w:r w:rsidR="5159B346" w:rsidRPr="3A36D7A1">
        <w:rPr>
          <w:rFonts w:ascii="Arial" w:eastAsia="Arial" w:hAnsi="Arial" w:cs="Arial"/>
          <w:color w:val="000000" w:themeColor="text1"/>
          <w:lang w:val="es-MX"/>
        </w:rPr>
        <w:t>ehículos</w:t>
      </w:r>
      <w:r w:rsidR="00A613AD" w:rsidRPr="3A36D7A1">
        <w:rPr>
          <w:rFonts w:ascii="Arial" w:eastAsia="Arial" w:hAnsi="Arial" w:cs="Arial"/>
          <w:color w:val="000000" w:themeColor="text1"/>
          <w:lang w:val="es-MX"/>
        </w:rPr>
        <w:t xml:space="preserve"> híbrid</w:t>
      </w:r>
      <w:r w:rsidR="24AA0D0A" w:rsidRPr="3A36D7A1">
        <w:rPr>
          <w:rFonts w:ascii="Arial" w:eastAsia="Arial" w:hAnsi="Arial" w:cs="Arial"/>
          <w:color w:val="000000" w:themeColor="text1"/>
          <w:lang w:val="es-MX"/>
        </w:rPr>
        <w:t>o</w:t>
      </w:r>
      <w:r w:rsidR="00A613AD" w:rsidRPr="3A36D7A1">
        <w:rPr>
          <w:rFonts w:ascii="Arial" w:eastAsia="Arial" w:hAnsi="Arial" w:cs="Arial"/>
          <w:color w:val="000000" w:themeColor="text1"/>
          <w:lang w:val="es-MX"/>
        </w:rPr>
        <w:t xml:space="preserve">s. </w:t>
      </w:r>
    </w:p>
    <w:p w14:paraId="5F294C1E" w14:textId="77777777" w:rsidR="00A613AD" w:rsidRDefault="00A613AD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4EE0EB4D" w14:textId="5BA9F2AD" w:rsidR="00C975E5" w:rsidRDefault="00C1768C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3A36D7A1">
        <w:rPr>
          <w:rFonts w:ascii="Arial" w:eastAsia="Arial" w:hAnsi="Arial" w:cs="Arial"/>
          <w:color w:val="000000" w:themeColor="text1"/>
          <w:lang w:val="es-MX"/>
        </w:rPr>
        <w:t>Dentro de sus vehículos más exitosos se encuentran, sin lugar a dudas, el NX350h</w:t>
      </w:r>
      <w:r w:rsidR="00A4156E" w:rsidRPr="3A36D7A1">
        <w:rPr>
          <w:rFonts w:ascii="Arial" w:eastAsia="Arial" w:hAnsi="Arial" w:cs="Arial"/>
          <w:color w:val="000000" w:themeColor="text1"/>
          <w:lang w:val="es-MX"/>
        </w:rPr>
        <w:t xml:space="preserve">, del que se comercializaron un total de 754 unidades en 2024, es decir, un 27.7% del total. </w:t>
      </w:r>
    </w:p>
    <w:p w14:paraId="2DC960EC" w14:textId="316F2B30" w:rsidR="3A36D7A1" w:rsidRDefault="3A36D7A1" w:rsidP="3A36D7A1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630534E8" w14:textId="2C15B37E" w:rsidR="00C975E5" w:rsidRDefault="00C975E5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3A36D7A1">
        <w:rPr>
          <w:rFonts w:ascii="Arial" w:eastAsia="Arial" w:hAnsi="Arial" w:cs="Arial"/>
          <w:color w:val="000000" w:themeColor="text1"/>
          <w:lang w:val="es-MX"/>
        </w:rPr>
        <w:t>Hablando del último mes del año, Lexus comercializó 278 unidades</w:t>
      </w:r>
      <w:r w:rsidR="7D1BC590" w:rsidRPr="3A36D7A1">
        <w:rPr>
          <w:rFonts w:ascii="Arial" w:eastAsia="Arial" w:hAnsi="Arial" w:cs="Arial"/>
          <w:color w:val="000000" w:themeColor="text1"/>
          <w:lang w:val="es-MX"/>
        </w:rPr>
        <w:t>, alcanzando un récord del</w:t>
      </w:r>
      <w:r w:rsidRPr="3A36D7A1">
        <w:rPr>
          <w:rFonts w:ascii="Arial" w:eastAsia="Arial" w:hAnsi="Arial" w:cs="Arial"/>
          <w:color w:val="000000" w:themeColor="text1"/>
          <w:lang w:val="es-MX"/>
        </w:rPr>
        <w:t xml:space="preserve"> 85% de las ventas en variantes híbridas, lo que sin duda contribuyó para un cierre</w:t>
      </w:r>
      <w:r w:rsidR="187ABF4E" w:rsidRPr="3A36D7A1">
        <w:rPr>
          <w:rFonts w:ascii="Arial" w:eastAsia="Arial" w:hAnsi="Arial" w:cs="Arial"/>
          <w:color w:val="000000" w:themeColor="text1"/>
          <w:lang w:val="es-MX"/>
        </w:rPr>
        <w:t xml:space="preserve"> muy </w:t>
      </w:r>
      <w:r w:rsidRPr="3A36D7A1">
        <w:rPr>
          <w:rFonts w:ascii="Arial" w:eastAsia="Arial" w:hAnsi="Arial" w:cs="Arial"/>
          <w:color w:val="000000" w:themeColor="text1"/>
          <w:lang w:val="es-MX"/>
        </w:rPr>
        <w:t>positivo para la firma</w:t>
      </w:r>
      <w:r w:rsidR="009F005B" w:rsidRPr="3A36D7A1">
        <w:rPr>
          <w:rFonts w:ascii="Arial" w:eastAsia="Arial" w:hAnsi="Arial" w:cs="Arial"/>
          <w:color w:val="000000" w:themeColor="text1"/>
          <w:lang w:val="es-MX"/>
        </w:rPr>
        <w:t xml:space="preserve">. </w:t>
      </w:r>
    </w:p>
    <w:p w14:paraId="6AE6662E" w14:textId="77777777" w:rsidR="009F005B" w:rsidRDefault="009F005B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0C66F33A" w14:textId="4819AFB8" w:rsidR="002231F0" w:rsidRDefault="00337B55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>
        <w:rPr>
          <w:rFonts w:ascii="Arial" w:eastAsia="Arial" w:hAnsi="Arial" w:cs="Arial"/>
          <w:color w:val="000000" w:themeColor="text1"/>
          <w:lang w:val="es-MX"/>
        </w:rPr>
        <w:t xml:space="preserve">Nuestra filosofía </w:t>
      </w:r>
      <w:r w:rsidR="009038CF">
        <w:rPr>
          <w:rFonts w:ascii="Arial" w:eastAsia="Arial" w:hAnsi="Arial" w:cs="Arial"/>
          <w:color w:val="000000" w:themeColor="text1"/>
          <w:lang w:val="es-MX"/>
        </w:rPr>
        <w:t xml:space="preserve">Omotenashi, </w:t>
      </w:r>
      <w:r w:rsidR="002231F0">
        <w:rPr>
          <w:rFonts w:ascii="Arial" w:eastAsia="Arial" w:hAnsi="Arial" w:cs="Arial"/>
          <w:color w:val="000000" w:themeColor="text1"/>
          <w:lang w:val="es-MX"/>
        </w:rPr>
        <w:t xml:space="preserve">centrada en la satisfacción del invitado, implementa prácticas como la hospitalidad, atención al detalle y un servicio postventa sin igual, para llevar la experiencia de movilidad de lujo a nuevos horizontes en el mercado. </w:t>
      </w:r>
    </w:p>
    <w:p w14:paraId="1AE3C9C2" w14:textId="77777777" w:rsidR="009038CF" w:rsidRDefault="009038CF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053F8650" w14:textId="1C724BCB" w:rsidR="009F005B" w:rsidRDefault="009038CF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>
        <w:rPr>
          <w:rFonts w:ascii="Arial" w:eastAsia="Arial" w:hAnsi="Arial" w:cs="Arial"/>
          <w:color w:val="000000" w:themeColor="text1"/>
          <w:lang w:val="es-MX"/>
        </w:rPr>
        <w:t xml:space="preserve">Esto se ve complementado con productos de gran calidad y una oferta tecnológica orientada en la </w:t>
      </w:r>
      <w:r w:rsidR="009F005B">
        <w:rPr>
          <w:rFonts w:ascii="Arial" w:eastAsia="Arial" w:hAnsi="Arial" w:cs="Arial"/>
          <w:color w:val="000000" w:themeColor="text1"/>
          <w:lang w:val="es-MX"/>
        </w:rPr>
        <w:t>movilidad inteligente</w:t>
      </w:r>
      <w:r>
        <w:rPr>
          <w:rFonts w:ascii="Arial" w:eastAsia="Arial" w:hAnsi="Arial" w:cs="Arial"/>
          <w:color w:val="000000" w:themeColor="text1"/>
          <w:lang w:val="es-MX"/>
        </w:rPr>
        <w:t>, mediante lo cual,</w:t>
      </w:r>
      <w:r w:rsidR="009F005B">
        <w:rPr>
          <w:rFonts w:ascii="Arial" w:eastAsia="Arial" w:hAnsi="Arial" w:cs="Arial"/>
          <w:color w:val="000000" w:themeColor="text1"/>
          <w:lang w:val="es-MX"/>
        </w:rPr>
        <w:t xml:space="preserve"> Lexus México continúa posicionándose como un jugador clave en nuestro país. </w:t>
      </w:r>
    </w:p>
    <w:p w14:paraId="7A8AEAD9" w14:textId="77777777" w:rsidR="00060B09" w:rsidRPr="00060B09" w:rsidRDefault="00060B09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485CBA22" w14:textId="0EB0C706" w:rsidR="0042711D" w:rsidRPr="00060B09" w:rsidRDefault="0042711D" w:rsidP="00735CB4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2E62E39A" w14:textId="54EBE90C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color w:val="000000" w:themeColor="text1"/>
        </w:rPr>
        <w:t>¿Quieres saber más? Consulta</w:t>
      </w:r>
      <w:hyperlink r:id="rId5">
        <w:r w:rsidRPr="0414D997">
          <w:rPr>
            <w:rStyle w:val="Hipervnculo"/>
            <w:rFonts w:ascii="Arial" w:eastAsia="Arial" w:hAnsi="Arial" w:cs="Arial"/>
          </w:rPr>
          <w:t xml:space="preserve"> </w:t>
        </w:r>
        <w:r w:rsidRPr="0414D997">
          <w:rPr>
            <w:rStyle w:val="Hipervnculo"/>
            <w:rFonts w:ascii="Arial" w:eastAsia="Arial" w:hAnsi="Arial" w:cs="Arial"/>
            <w:color w:val="0563C1"/>
            <w:u w:val="none"/>
          </w:rPr>
          <w:t>https://www.lexus.mx/</w:t>
        </w:r>
      </w:hyperlink>
      <w:r w:rsidRPr="0414D997">
        <w:rPr>
          <w:rFonts w:ascii="Arial" w:eastAsia="Arial" w:hAnsi="Arial" w:cs="Arial"/>
          <w:color w:val="000000" w:themeColor="text1"/>
        </w:rPr>
        <w:t xml:space="preserve"> </w:t>
      </w:r>
    </w:p>
    <w:p w14:paraId="02ABA3C1" w14:textId="0AD5B5DC" w:rsidR="0042711D" w:rsidRDefault="0042711D" w:rsidP="0414D997">
      <w:pPr>
        <w:shd w:val="clear" w:color="auto" w:fill="FFFFFF" w:themeFill="background1"/>
        <w:spacing w:after="0"/>
        <w:jc w:val="both"/>
      </w:pPr>
    </w:p>
    <w:p w14:paraId="743FDA48" w14:textId="2CE15513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Contacto de prensa: </w:t>
      </w:r>
      <w:r w:rsidRPr="0414D99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910AF47" w14:textId="14CC08A8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Ernesto Roy </w:t>
      </w:r>
      <w:proofErr w:type="spellStart"/>
      <w:r w:rsidRPr="0414D99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Ocotla</w:t>
      </w:r>
      <w:proofErr w:type="spellEnd"/>
      <w:r w:rsidRPr="0414D99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01E3C6B" w14:textId="618718B2" w:rsidR="0042711D" w:rsidRPr="001B28B2" w:rsidRDefault="0B689B75" w:rsidP="0414D997">
      <w:pPr>
        <w:shd w:val="clear" w:color="auto" w:fill="FFFFFF" w:themeFill="background1"/>
        <w:spacing w:after="0"/>
        <w:jc w:val="both"/>
        <w:rPr>
          <w:lang w:val="en-US"/>
        </w:rPr>
      </w:pPr>
      <w:r w:rsidRPr="001B28B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PR Executive Sr. </w:t>
      </w:r>
    </w:p>
    <w:p w14:paraId="2D90DBA0" w14:textId="0CD1DACC" w:rsidR="0042711D" w:rsidRPr="001B28B2" w:rsidRDefault="0B689B75" w:rsidP="0414D997">
      <w:pPr>
        <w:shd w:val="clear" w:color="auto" w:fill="FFFFFF" w:themeFill="background1"/>
        <w:spacing w:after="0"/>
        <w:jc w:val="both"/>
        <w:rPr>
          <w:lang w:val="en-US"/>
        </w:rPr>
      </w:pPr>
      <w:hyperlink r:id="rId6">
        <w:r w:rsidRPr="001B28B2">
          <w:rPr>
            <w:rStyle w:val="Hipervnculo"/>
            <w:rFonts w:ascii="Arial" w:eastAsia="Arial" w:hAnsi="Arial" w:cs="Arial"/>
            <w:sz w:val="20"/>
            <w:szCs w:val="20"/>
            <w:lang w:val="en-US"/>
          </w:rPr>
          <w:t>ernesto.roy@qprw.co</w:t>
        </w:r>
      </w:hyperlink>
      <w:r w:rsidRPr="001B28B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3AA4C9CA" w14:textId="06AA0BD7" w:rsidR="0042711D" w:rsidRPr="002231F0" w:rsidRDefault="0B689B75" w:rsidP="0414D997">
      <w:pPr>
        <w:shd w:val="clear" w:color="auto" w:fill="FFFFFF" w:themeFill="background1"/>
        <w:spacing w:after="0"/>
        <w:jc w:val="both"/>
        <w:rPr>
          <w:lang w:val="en-US"/>
        </w:rPr>
      </w:pPr>
      <w:r w:rsidRPr="002231F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55 8109 0216 </w:t>
      </w:r>
    </w:p>
    <w:p w14:paraId="53DE9F2E" w14:textId="18C2A57B" w:rsidR="0042711D" w:rsidRPr="002231F0" w:rsidRDefault="0B689B75" w:rsidP="0414D997">
      <w:pPr>
        <w:shd w:val="clear" w:color="auto" w:fill="FFFFFF" w:themeFill="background1"/>
        <w:spacing w:after="0"/>
        <w:jc w:val="both"/>
        <w:rPr>
          <w:lang w:val="en-US"/>
        </w:rPr>
      </w:pPr>
      <w:r w:rsidRPr="002231F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   </w:t>
      </w:r>
    </w:p>
    <w:p w14:paraId="37C348CA" w14:textId="0DFF78F2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color w:val="000000" w:themeColor="text1"/>
        </w:rPr>
        <w:t xml:space="preserve">----- </w:t>
      </w:r>
    </w:p>
    <w:p w14:paraId="4E4BC4A9" w14:textId="55434E75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Acerca de Lexus:</w:t>
      </w:r>
      <w:r w:rsidRPr="0414D997">
        <w:rPr>
          <w:rFonts w:ascii="Arial" w:eastAsia="Arial" w:hAnsi="Arial" w:cs="Arial"/>
          <w:color w:val="666666"/>
          <w:sz w:val="16"/>
          <w:szCs w:val="16"/>
        </w:rPr>
        <w:t xml:space="preserve"> </w:t>
      </w:r>
    </w:p>
    <w:p w14:paraId="04C5A5C8" w14:textId="348A342A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 xml:space="preserve">En 1989, Lexus fue lanzado con el sedán LS y una experiencia para los clientes que ayudó a definir la industria automovilística premium. En 1998, Lexus introdujo la categoría de </w:t>
      </w:r>
      <w:proofErr w:type="gramStart"/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crossover</w:t>
      </w:r>
      <w:proofErr w:type="gramEnd"/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 xml:space="preserve"> de lujo con el lanzamiento del Lexus RX. Líder en ventas de híbridos de lujo, Lexus presentó el primer híbrido de lujo del mundo y desde entonces ha vendido más de 1,5 millones de vehículos híbridos.</w:t>
      </w:r>
      <w:r w:rsidRPr="0414D997">
        <w:rPr>
          <w:rFonts w:ascii="Arial" w:eastAsia="Arial" w:hAnsi="Arial" w:cs="Arial"/>
          <w:color w:val="666666"/>
          <w:sz w:val="16"/>
          <w:szCs w:val="16"/>
        </w:rPr>
        <w:t xml:space="preserve"> </w:t>
      </w:r>
    </w:p>
    <w:p w14:paraId="176D5496" w14:textId="4C69AB59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Lexus, una marca global de automóviles de lujo con un compromiso inquebrantable con el diseño audaz y sin concesiones, la artesanía excepcional y el rendimiento atractivo, ha desarrollado su línea para satisfacer las necesidades de la próxima generación de clientes de lujo globales y actualmente está disponible en más de 90 países en todo el mundo.</w:t>
      </w:r>
      <w:r w:rsidRPr="0414D997">
        <w:rPr>
          <w:rFonts w:ascii="Arial" w:eastAsia="Arial" w:hAnsi="Arial" w:cs="Arial"/>
          <w:color w:val="666666"/>
          <w:sz w:val="16"/>
          <w:szCs w:val="16"/>
        </w:rPr>
        <w:t xml:space="preserve"> </w:t>
      </w:r>
    </w:p>
    <w:p w14:paraId="7AFE84CD" w14:textId="6E765E15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 xml:space="preserve">Los asociados y miembros del equipo de Lexus en todo el mundo se dedican a crear experiencias increíbles que son exclusivamente Lexus. experiencias que son exclusivamente Lexus, y que emocionan y cambian el mundo. Para </w:t>
      </w:r>
      <w:proofErr w:type="gramStart"/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mayor información</w:t>
      </w:r>
      <w:proofErr w:type="gramEnd"/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, entra a</w:t>
      </w:r>
      <w:hyperlink r:id="rId7">
        <w:r w:rsidRPr="0414D997">
          <w:rPr>
            <w:rStyle w:val="Hipervnculo"/>
            <w:rFonts w:ascii="Arial" w:eastAsia="Arial" w:hAnsi="Arial" w:cs="Arial"/>
            <w:b/>
            <w:bCs/>
            <w:sz w:val="16"/>
            <w:szCs w:val="16"/>
          </w:rPr>
          <w:t xml:space="preserve"> </w:t>
        </w:r>
        <w:r w:rsidRPr="0414D997">
          <w:rPr>
            <w:rStyle w:val="Hipervnculo"/>
            <w:rFonts w:ascii="Calibri" w:eastAsia="Calibri" w:hAnsi="Calibri" w:cs="Calibri"/>
            <w:b/>
            <w:bCs/>
            <w:color w:val="0563C1"/>
            <w:sz w:val="16"/>
            <w:szCs w:val="16"/>
            <w:u w:val="none"/>
          </w:rPr>
          <w:t>www.lexus.mx</w:t>
        </w:r>
      </w:hyperlink>
      <w:r w:rsidRPr="0414D997">
        <w:rPr>
          <w:rFonts w:ascii="Arial" w:eastAsia="Arial" w:hAnsi="Arial" w:cs="Arial"/>
          <w:color w:val="0563C1"/>
          <w:sz w:val="16"/>
          <w:szCs w:val="16"/>
        </w:rPr>
        <w:t xml:space="preserve"> </w:t>
      </w:r>
    </w:p>
    <w:p w14:paraId="4E2E480C" w14:textId="6A9E547B" w:rsidR="0042711D" w:rsidRDefault="0B689B75" w:rsidP="0414D997">
      <w:pPr>
        <w:shd w:val="clear" w:color="auto" w:fill="FFFFFF" w:themeFill="background1"/>
        <w:spacing w:after="0"/>
      </w:pPr>
      <w:r w:rsidRPr="0414D997">
        <w:rPr>
          <w:rFonts w:ascii="Calibri" w:eastAsia="Calibri" w:hAnsi="Calibri" w:cs="Calibri"/>
          <w:color w:val="000000" w:themeColor="text1"/>
        </w:rPr>
        <w:t xml:space="preserve"> </w:t>
      </w:r>
    </w:p>
    <w:p w14:paraId="7389F97D" w14:textId="67FD9818" w:rsidR="0042711D" w:rsidRDefault="0042711D"/>
    <w:p w14:paraId="11F32AEE" w14:textId="13918DCE" w:rsidR="0042711D" w:rsidRDefault="0042711D"/>
    <w:p w14:paraId="55C0C8D8" w14:textId="2EE3D3AF" w:rsidR="0042711D" w:rsidRDefault="0042711D"/>
    <w:p w14:paraId="70DFF938" w14:textId="48732EEE" w:rsidR="0042711D" w:rsidRDefault="0042711D"/>
    <w:p w14:paraId="182670BB" w14:textId="1C1A1E1E" w:rsidR="0042711D" w:rsidRDefault="0042711D"/>
    <w:p w14:paraId="5C1A07E2" w14:textId="735EC087" w:rsidR="0042711D" w:rsidRDefault="0042711D" w:rsidP="0414D997"/>
    <w:sectPr w:rsidR="004271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E2C8F"/>
    <w:multiLevelType w:val="hybridMultilevel"/>
    <w:tmpl w:val="FF784376"/>
    <w:lvl w:ilvl="0" w:tplc="54FA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C2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04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AB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02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A5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82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49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AC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55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CB692A"/>
    <w:rsid w:val="00060B09"/>
    <w:rsid w:val="00061054"/>
    <w:rsid w:val="001460C4"/>
    <w:rsid w:val="001B28B2"/>
    <w:rsid w:val="002231F0"/>
    <w:rsid w:val="002C0AA4"/>
    <w:rsid w:val="00337B55"/>
    <w:rsid w:val="00352B23"/>
    <w:rsid w:val="00384785"/>
    <w:rsid w:val="003D224D"/>
    <w:rsid w:val="0042711D"/>
    <w:rsid w:val="00471E22"/>
    <w:rsid w:val="005637ED"/>
    <w:rsid w:val="00586CA6"/>
    <w:rsid w:val="00686DCE"/>
    <w:rsid w:val="00697F8A"/>
    <w:rsid w:val="006B2B76"/>
    <w:rsid w:val="0070544C"/>
    <w:rsid w:val="00735CB4"/>
    <w:rsid w:val="009038CF"/>
    <w:rsid w:val="00944E52"/>
    <w:rsid w:val="00976161"/>
    <w:rsid w:val="009B75E3"/>
    <w:rsid w:val="009F005B"/>
    <w:rsid w:val="00A4156E"/>
    <w:rsid w:val="00A52468"/>
    <w:rsid w:val="00A541B6"/>
    <w:rsid w:val="00A613AD"/>
    <w:rsid w:val="00A86588"/>
    <w:rsid w:val="00AB67DE"/>
    <w:rsid w:val="00B831F6"/>
    <w:rsid w:val="00C1768C"/>
    <w:rsid w:val="00C60BAD"/>
    <w:rsid w:val="00C975E5"/>
    <w:rsid w:val="00CA70CC"/>
    <w:rsid w:val="00D4725C"/>
    <w:rsid w:val="00D625A7"/>
    <w:rsid w:val="00DC2593"/>
    <w:rsid w:val="00E16D1D"/>
    <w:rsid w:val="00F26CB7"/>
    <w:rsid w:val="00F924C4"/>
    <w:rsid w:val="034D01AF"/>
    <w:rsid w:val="0414D997"/>
    <w:rsid w:val="069C690D"/>
    <w:rsid w:val="06CB692A"/>
    <w:rsid w:val="08166FA2"/>
    <w:rsid w:val="0865A663"/>
    <w:rsid w:val="0B689B75"/>
    <w:rsid w:val="10524849"/>
    <w:rsid w:val="1175407A"/>
    <w:rsid w:val="17AA1908"/>
    <w:rsid w:val="187ABF4E"/>
    <w:rsid w:val="1B9836CE"/>
    <w:rsid w:val="1E052331"/>
    <w:rsid w:val="21D965B1"/>
    <w:rsid w:val="24AA0D0A"/>
    <w:rsid w:val="25CA0D4D"/>
    <w:rsid w:val="269CAF3E"/>
    <w:rsid w:val="2DBB8E1B"/>
    <w:rsid w:val="2E184A1C"/>
    <w:rsid w:val="2E6D7A41"/>
    <w:rsid w:val="2F8C96B4"/>
    <w:rsid w:val="317633A5"/>
    <w:rsid w:val="3A36D7A1"/>
    <w:rsid w:val="3A4B6807"/>
    <w:rsid w:val="3CEF966E"/>
    <w:rsid w:val="3CFB70F9"/>
    <w:rsid w:val="3D28C0F8"/>
    <w:rsid w:val="43A159BD"/>
    <w:rsid w:val="43E5B934"/>
    <w:rsid w:val="45445913"/>
    <w:rsid w:val="4B34DC2A"/>
    <w:rsid w:val="4EC8C22D"/>
    <w:rsid w:val="50ECECD5"/>
    <w:rsid w:val="5159B346"/>
    <w:rsid w:val="516A77E1"/>
    <w:rsid w:val="5551809E"/>
    <w:rsid w:val="58456F43"/>
    <w:rsid w:val="591E75EE"/>
    <w:rsid w:val="592EE200"/>
    <w:rsid w:val="5B530CA8"/>
    <w:rsid w:val="5DC18A19"/>
    <w:rsid w:val="5E38FA63"/>
    <w:rsid w:val="60287E82"/>
    <w:rsid w:val="635E87BA"/>
    <w:rsid w:val="658CA3AA"/>
    <w:rsid w:val="66406617"/>
    <w:rsid w:val="66BB08F8"/>
    <w:rsid w:val="66CBA57B"/>
    <w:rsid w:val="676018A5"/>
    <w:rsid w:val="6AC7ADCE"/>
    <w:rsid w:val="6B63CA68"/>
    <w:rsid w:val="7195DD61"/>
    <w:rsid w:val="71FB47A8"/>
    <w:rsid w:val="7221E372"/>
    <w:rsid w:val="72E70476"/>
    <w:rsid w:val="76CC6402"/>
    <w:rsid w:val="77AE1E5C"/>
    <w:rsid w:val="7C6DB125"/>
    <w:rsid w:val="7D1BC590"/>
    <w:rsid w:val="7E0C89B0"/>
    <w:rsid w:val="7F4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692A"/>
  <w15:chartTrackingRefBased/>
  <w15:docId w15:val="{6EC64E77-AC48-48D7-8307-74D948A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3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xus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nesto.roy@qprw.co" TargetMode="External"/><Relationship Id="rId5" Type="http://schemas.openxmlformats.org/officeDocument/2006/relationships/hyperlink" Target="https://www.lexus.mx/" TargetMode="External"/><Relationship Id="rId10" Type="http://schemas.microsoft.com/office/2019/05/relationships/documenttasks" Target="documenttasks/documenttasks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B74572A4-A86A-4779-BE30-B38005A224CC}">
    <t:Anchor>
      <t:Comment id="761045338"/>
    </t:Anchor>
    <t:History>
      <t:Event id="{4AB998D5-42E7-4A23-9C3F-98A0FABE9363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Create/>
      </t:Event>
      <t:Event id="{276878E6-A15B-4FB2-ACC9-DA83B29BC7B5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Assign userId="S::ernesto.roy@qprw.co::8cb13840-9469-4587-bbef-876ef140be23" userProvider="AD" userName="Ernesto Roy"/>
      </t:Event>
      <t:Event id="{28A0650E-2F86-48F1-98C9-6943E3693784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SetTitle title="Duda, ¿interpreté bien la cifra? @Ernesto Roy"/>
      </t:Event>
      <t:Event id="{4B12A1E0-3890-48E7-BAD7-596D34996A26}" time="2024-04-03T19:51:12.328Z">
        <t:Attribution userId="S::ernesto.roy@qprw.co::8cb13840-9469-4587-bbef-876ef140be23" userProvider="AD" userName="Ernesto Ro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446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Teposteco Rodríguez</dc:creator>
  <cp:keywords/>
  <dc:description/>
  <cp:lastModifiedBy>Ernesto Roy</cp:lastModifiedBy>
  <cp:revision>5</cp:revision>
  <dcterms:created xsi:type="dcterms:W3CDTF">2025-01-03T23:34:00Z</dcterms:created>
  <dcterms:modified xsi:type="dcterms:W3CDTF">2025-01-04T00:24:00Z</dcterms:modified>
</cp:coreProperties>
</file>